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952875" cy="298005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rFonts w:hint="eastAsia" w:ascii="宋体" w:hAnsi="宋体"/>
          <w:b/>
          <w:bCs/>
          <w:sz w:val="28"/>
          <w:szCs w:val="28"/>
        </w:rPr>
        <w:t>地下二层至一层混凝土结构抹灰前表面处理</w:t>
      </w:r>
    </w:p>
    <w:p>
      <w:pPr>
        <w:jc w:val="center"/>
      </w:pPr>
      <w:r>
        <w:drawing>
          <wp:inline distT="0" distB="0" distL="114300" distR="114300">
            <wp:extent cx="4023360" cy="303085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rFonts w:hint="eastAsia" w:ascii="宋体" w:hAnsi="宋体"/>
          <w:b/>
          <w:bCs/>
          <w:sz w:val="28"/>
          <w:szCs w:val="28"/>
        </w:rPr>
        <w:t>三层至屋面机房层砌体结构施工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451100" cy="22034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384425" cy="2208530"/>
            <wp:effectExtent l="0" t="0" r="825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建设单位、审计单位、监理单位及总包单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位召开了考察专题会议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2019-04-09T02:15:20Z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